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Điều 31 </w:t>
      </w:r>
      <w:hyperlink r:id="rId5" w:tgtFrame="_blank" w:history="1">
        <w:r w:rsidRPr="003901BA">
          <w:rPr>
            <w:rStyle w:val="Hyperlink"/>
            <w:sz w:val="28"/>
            <w:szCs w:val="28"/>
          </w:rPr>
          <w:t>Nghị định 47/2014/NĐ-CP</w:t>
        </w:r>
      </w:hyperlink>
      <w:r w:rsidRPr="003901BA">
        <w:rPr>
          <w:sz w:val="28"/>
          <w:szCs w:val="28"/>
        </w:rPr>
        <w:t> như sau:</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Tổ chức làm nhiệm vụ bồi thường, giải phóng mặt bằng có trách nhiệm lập dự toán chi phí tổ chức thực hiện bồi thường, hỗ trợ, tái định cư của từng dự án theo quy định sau đây:</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Đối với các khoản chi đã có định mức, tiêu chuẩn, đơn giá do cơ quan nhà nước có thẩm quyền quy định thì thực hiện theo quy định hiện hành;</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Đối với các khoản chi chưa có định mức, tiêu chuẩn, đơn giá thì lập dự toán theo thực tế cho phù hợp với đặc điểm của từng dự án và thực tế ở địa phương;</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Chi in ấn tài liệu, văn phòng phẩm, xăng xe, hậu cần phục vụ và các khoản phục vụ cho bộ máy quản lý được tính theo nhu cầu thực tế của từng dự án.</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Kinh phí bảo đảm cho việc tổ chức thực hiện bồi thường, giải phóng mặt bằng được trích không quá 2% tổng số kinh phí bồi thường, hỗ trợ của dự án. </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Đối với các dự án thực hiện trên các địa bàn có điều kiện kinh tế - xã hội khó khăn hoặc đặc biệt khó khăn, dự án xây dựng công trình hạ tầng theo tuyến;</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Hoặc trường hợp phải thực hiện cưỡng chế kiểm đếm thì tổ chức được giao thực hiện công tác bồi thường, hỗ trợ, tái định cư được lập dự toán kinh phí tổ chức bồi thường, hỗ trợ, tái định cư của dự án theo khối lượng công việc thực tế, không khống chế mức trích 2%.</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Cơ quan có thẩm quyền phê duyệt phương án bồi thường, hỗ trợ, tái định cư quyết định kinh phí tổ chức thực hiện bồi thường, hỗ trợ, tái định cư cho từng dự án theo quy định của pháp luật.</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Trường hợp phải thực hiện cưỡng chế thu hồi đất thì tổ chức làm nhiệm vụ bồi thường, giải phóng mặt bằng lập dự toán kinh phí tổ chức thực hiện cưỡng chế trình cơ quan nhà nước có thẩm quyền phê duyệt phương án bồi thường, hỗ trợ, tái định cư quyết định. </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Việc bố trí kinh phí tổ chức thực hiện cưỡng chế thu hồi đất như sau:</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Đối với trường hợp giao đất không thu tiền sử dụng đất, giao đất, cho thuê đất nhưng được miễn nộp tiền sử dụng đất, tiền thuê đất thì khoản kinh phí này được bố trí và hạch toán vào vốn đầu tư của dự án;</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Đối với trường hợp nhà nước thực hiện thu hồi đất tạo quỹ đất sạch để giao, cho thuê thông qua hình thức đấu giá thì khoản kinh phí này được ứng từ Quỹ phát triển đất;</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t>+ Đối với trường hợp nhà đầu tư tự nguyện ứng tiền bồi thường, hỗ trợ, tái định cư (trong đó có khoản kinh phí thực hiện cưỡng chế thu hồi đất) thì khoản kinh phí này được trừ vào số tiền sử dụng đất, tiền thuê đất phải nộp.</w:t>
      </w:r>
    </w:p>
    <w:p w:rsidR="004E5248" w:rsidRPr="003901BA" w:rsidRDefault="004E5248" w:rsidP="004E5248">
      <w:pPr>
        <w:pStyle w:val="NormalWeb"/>
        <w:shd w:val="clear" w:color="auto" w:fill="FFFFFF"/>
        <w:spacing w:before="120" w:beforeAutospacing="0" w:after="0" w:afterAutospacing="0"/>
        <w:ind w:firstLine="567"/>
        <w:jc w:val="both"/>
        <w:rPr>
          <w:sz w:val="28"/>
          <w:szCs w:val="28"/>
        </w:rPr>
      </w:pPr>
      <w:r w:rsidRPr="003901BA">
        <w:rPr>
          <w:sz w:val="28"/>
          <w:szCs w:val="28"/>
        </w:rPr>
        <w:lastRenderedPageBreak/>
        <w:t>- Bộ Tài chính hướng dẫn việc lập dự toán, sử dụng và thanh quyết toán chi phí tổ chức thực hiện bồi thường, hỗ trợ, tái định cư.</w:t>
      </w:r>
    </w:p>
    <w:p w:rsidR="00747162" w:rsidRDefault="00747162">
      <w:bookmarkStart w:id="0" w:name="_GoBack"/>
      <w:bookmarkEnd w:id="0"/>
    </w:p>
    <w:sectPr w:rsidR="0074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73"/>
    <w:rsid w:val="004E5248"/>
    <w:rsid w:val="00747162"/>
    <w:rsid w:val="00C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5248"/>
    <w:rPr>
      <w:color w:val="0000FF"/>
      <w:u w:val="single"/>
    </w:rPr>
  </w:style>
  <w:style w:type="paragraph" w:styleId="NormalWeb">
    <w:name w:val="Normal (Web)"/>
    <w:basedOn w:val="Normal"/>
    <w:uiPriority w:val="99"/>
    <w:unhideWhenUsed/>
    <w:rsid w:val="004E52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5248"/>
    <w:rPr>
      <w:color w:val="0000FF"/>
      <w:u w:val="single"/>
    </w:rPr>
  </w:style>
  <w:style w:type="paragraph" w:styleId="NormalWeb">
    <w:name w:val="Normal (Web)"/>
    <w:basedOn w:val="Normal"/>
    <w:uiPriority w:val="99"/>
    <w:unhideWhenUsed/>
    <w:rsid w:val="004E5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t-dong-san/Nghi-dinh-47-2014-ND-CP-boi-thuong-ho-tro-tai-dinh-cu-khi-Nha-nuoc-thu-hoi-dat-23062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YZY</dc:creator>
  <cp:keywords/>
  <dc:description/>
  <cp:lastModifiedBy>YZY</cp:lastModifiedBy>
  <cp:revision>2</cp:revision>
  <dcterms:created xsi:type="dcterms:W3CDTF">2023-02-14T08:44:00Z</dcterms:created>
  <dcterms:modified xsi:type="dcterms:W3CDTF">2023-02-14T08:45:00Z</dcterms:modified>
</cp:coreProperties>
</file>